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DE5F2" w14:textId="2A9AC05F" w:rsidR="0074613B" w:rsidRDefault="000A6D99" w:rsidP="000A6D99">
      <w:pPr>
        <w:jc w:val="right"/>
      </w:pPr>
      <w:r>
        <w:rPr>
          <w:color w:val="000000"/>
        </w:rPr>
        <w:t>In this paper, some refinements of Heron inequality for positive numbers are proved and using these inequalities for positive operator of these inequalities are obtained.</w:t>
      </w:r>
    </w:p>
    <w:sectPr w:rsidR="0074613B" w:rsidSect="002B1BA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99"/>
    <w:rsid w:val="000A6D99"/>
    <w:rsid w:val="002B1BAF"/>
    <w:rsid w:val="0074613B"/>
    <w:rsid w:val="00E6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40D599"/>
  <w15:chartTrackingRefBased/>
  <w15:docId w15:val="{D74A918C-F8D7-4CF4-9AE9-271737E0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</dc:creator>
  <cp:keywords/>
  <dc:description/>
  <cp:lastModifiedBy>seyed</cp:lastModifiedBy>
  <cp:revision>2</cp:revision>
  <dcterms:created xsi:type="dcterms:W3CDTF">2021-03-27T19:57:00Z</dcterms:created>
  <dcterms:modified xsi:type="dcterms:W3CDTF">2021-03-27T20:05:00Z</dcterms:modified>
</cp:coreProperties>
</file>